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#105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0133</w:t>
      </w:r>
      <w:bookmarkStart w:id="0" w:name="_GoBack"/>
      <w:bookmarkEnd w:id="0"/>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26 Feb - 1 March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 xml:space="preserve">Discussion on potential KVI input from ITU </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9.1</w:t>
      </w:r>
    </w:p>
    <w:p>
      <w:pPr>
        <w:spacing w:after="120"/>
        <w:ind w:left="1985" w:hanging="1985"/>
        <w:rPr>
          <w:rFonts w:hint="default" w:ascii="Arial" w:hAnsi="Arial" w:eastAsia="宋体" w:cs="Arial"/>
          <w:b/>
          <w:bCs/>
          <w:lang w:val="en-US" w:eastAsia="zh-CN"/>
        </w:rPr>
      </w:pPr>
      <w:r>
        <w:rPr>
          <w:rFonts w:ascii="Arial" w:hAnsi="Arial" w:cs="Arial"/>
          <w:b/>
          <w:bCs/>
        </w:rPr>
        <w:t>Document for:</w:t>
      </w:r>
      <w:r>
        <w:rPr>
          <w:rFonts w:ascii="Arial" w:hAnsi="Arial" w:cs="Arial"/>
          <w:b/>
          <w:bCs/>
        </w:rPr>
        <w:tab/>
      </w:r>
      <w:r>
        <w:rPr>
          <w:rFonts w:hint="eastAsia" w:ascii="Arial" w:hAnsi="Arial" w:eastAsia="宋体" w:cs="Arial"/>
          <w:b/>
          <w:bCs/>
          <w:lang w:val="en-US" w:eastAsia="zh-CN"/>
        </w:rPr>
        <w:t>Discussion</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Xiaonan Shi,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w:t>
      </w:r>
      <w:r>
        <w:rPr>
          <w:rFonts w:hint="eastAsia" w:ascii="Arial" w:hAnsi="Arial" w:eastAsia="宋体" w:cs="Arial"/>
          <w:i/>
          <w:sz w:val="22"/>
          <w:szCs w:val="22"/>
          <w:lang w:val="en-US" w:eastAsia="zh-CN"/>
        </w:rPr>
        <w:t>This discussion paper provides some previous work from ITU on key values of 6G network which can be considered if 3GPP is going to do such study.</w:t>
      </w:r>
      <w:r>
        <w:rPr>
          <w:rFonts w:ascii="Arial" w:hAnsi="Arial" w:eastAsia="Calibri" w:cs="Arial"/>
          <w:i/>
          <w:sz w:val="22"/>
          <w:szCs w:val="22"/>
        </w:rPr>
        <w:t>&gt;</w:t>
      </w:r>
    </w:p>
    <w:p>
      <w:pPr>
        <w:pStyle w:val="68"/>
        <w:rPr>
          <w:b/>
        </w:rPr>
      </w:pPr>
      <w:r>
        <w:rPr>
          <w:b/>
        </w:rPr>
        <w:t>1. Introduction</w:t>
      </w:r>
    </w:p>
    <w:p>
      <w:pPr>
        <w:rPr>
          <w:rFonts w:hint="default" w:eastAsia="宋体"/>
          <w:lang w:val="en-US" w:eastAsia="zh-CN"/>
        </w:rPr>
      </w:pPr>
      <w:r>
        <w:rPr>
          <w:rFonts w:hint="eastAsia" w:eastAsia="宋体"/>
          <w:lang w:val="en-US" w:eastAsia="zh-CN"/>
        </w:rPr>
        <w:t>Discussion on Key value indicator of 3GPP has started, and it</w:t>
      </w:r>
      <w:r>
        <w:rPr>
          <w:rFonts w:hint="default" w:eastAsia="宋体"/>
          <w:lang w:val="en-US" w:eastAsia="zh-CN"/>
        </w:rPr>
        <w:t>’</w:t>
      </w:r>
      <w:r>
        <w:rPr>
          <w:rFonts w:hint="eastAsia" w:eastAsia="宋体"/>
          <w:lang w:val="en-US" w:eastAsia="zh-CN"/>
        </w:rPr>
        <w:t xml:space="preserve">s necessary to consider the existing work of other standardization groups. </w:t>
      </w:r>
    </w:p>
    <w:p>
      <w:pPr>
        <w:pStyle w:val="68"/>
        <w:rPr>
          <w:rFonts w:hint="default" w:eastAsia="宋体"/>
          <w:b/>
          <w:lang w:val="en-US" w:eastAsia="zh-CN"/>
        </w:rPr>
      </w:pPr>
      <w:r>
        <w:rPr>
          <w:b/>
          <w:lang w:val="en-US"/>
        </w:rPr>
        <w:t xml:space="preserve">2. </w:t>
      </w:r>
      <w:r>
        <w:rPr>
          <w:rFonts w:hint="eastAsia" w:eastAsia="宋体"/>
          <w:b/>
          <w:lang w:val="en-US" w:eastAsia="zh-CN"/>
        </w:rPr>
        <w:t>Discussion</w:t>
      </w:r>
    </w:p>
    <w:p>
      <w:pPr>
        <w:rPr>
          <w:rFonts w:hint="eastAsia" w:eastAsia="宋体"/>
          <w:lang w:val="en-US" w:eastAsia="zh-CN"/>
        </w:rPr>
      </w:pPr>
      <w:r>
        <w:rPr>
          <w:rFonts w:hint="eastAsia" w:eastAsia="宋体"/>
          <w:lang w:val="en-US" w:eastAsia="zh-CN"/>
        </w:rPr>
        <w:t>ITU-R has published Framework and overall objectives of the future development of IMT for 2030 and beyond in 2023. in chapter 2 trend of 2030, 2.1 Motivation and societal considerations and 2.2 User and application trends provides some views on the key difference 2030 network will bring to society, application and customers, which is align with the motivation on the key value indicators. Following are some examples:</w:t>
      </w:r>
    </w:p>
    <w:p>
      <w:pPr>
        <w:rPr>
          <w:rFonts w:hint="default" w:eastAsia="宋体"/>
          <w:i/>
          <w:iCs/>
          <w:lang w:val="en-US" w:eastAsia="zh-CN"/>
        </w:rPr>
      </w:pPr>
      <w:r>
        <w:rPr>
          <w:rFonts w:hint="default" w:eastAsia="宋体"/>
          <w:i/>
          <w:iCs/>
          <w:lang w:val="en-US" w:eastAsia="zh-CN"/>
        </w:rPr>
        <w:t xml:space="preserve">2.2.1 Ubiquitous intelligence </w:t>
      </w:r>
    </w:p>
    <w:p>
      <w:pPr>
        <w:rPr>
          <w:rFonts w:hint="eastAsia" w:eastAsia="宋体"/>
          <w:i/>
          <w:iCs/>
          <w:lang w:val="en-US" w:eastAsia="zh-CN"/>
        </w:rPr>
      </w:pPr>
      <w:r>
        <w:rPr>
          <w:rFonts w:hint="default" w:eastAsia="宋体"/>
          <w:i/>
          <w:iCs/>
          <w:lang w:val="en-US" w:eastAsia="zh-CN"/>
        </w:rPr>
        <w:t>With the steady progress and fast spread of technologies in AI and particularly machine learning (ML), it is expected that intelligence would be present in every part of the communication system to support the building of smart cities and communities.</w:t>
      </w:r>
      <w:r>
        <w:rPr>
          <w:rFonts w:hint="eastAsia" w:eastAsia="宋体"/>
          <w:i/>
          <w:iCs/>
          <w:lang w:val="en-US" w:eastAsia="zh-CN"/>
        </w:rPr>
        <w:t>...</w:t>
      </w:r>
    </w:p>
    <w:p>
      <w:pPr>
        <w:rPr>
          <w:rFonts w:hint="default" w:eastAsia="宋体"/>
          <w:i/>
          <w:iCs/>
          <w:lang w:val="en-US" w:eastAsia="zh-CN"/>
        </w:rPr>
      </w:pPr>
      <w:r>
        <w:rPr>
          <w:rFonts w:hint="default" w:eastAsia="宋体"/>
          <w:i/>
          <w:iCs/>
          <w:lang w:val="en-US" w:eastAsia="zh-CN"/>
        </w:rPr>
        <w:t xml:space="preserve">2.2.2 Ubiquitous computing </w:t>
      </w:r>
    </w:p>
    <w:p>
      <w:pPr>
        <w:rPr>
          <w:rFonts w:hint="default" w:eastAsia="宋体"/>
          <w:i/>
          <w:iCs/>
          <w:lang w:val="en-US" w:eastAsia="zh-CN"/>
        </w:rPr>
      </w:pPr>
      <w:r>
        <w:rPr>
          <w:rFonts w:hint="default" w:eastAsia="宋体"/>
          <w:i/>
          <w:iCs/>
          <w:lang w:val="en-US" w:eastAsia="zh-CN"/>
        </w:rPr>
        <w:t>In addition to ubiquitous intelligence, it is expected that ubiquitous use of data computing resources would also expand throughout the IMT-2030. Emerging trends in this regard include expansion of data processing in the network infrastructure to the network cloud and devices that are closer to the origin of the data and support for proliferation of ubiquitous intelligence throughout the IMT-2030.</w:t>
      </w:r>
      <w:r>
        <w:rPr>
          <w:rFonts w:hint="eastAsia" w:eastAsia="宋体"/>
          <w:i/>
          <w:iCs/>
          <w:lang w:val="en-US" w:eastAsia="zh-CN"/>
        </w:rPr>
        <w:t>..</w:t>
      </w:r>
    </w:p>
    <w:p>
      <w:pPr>
        <w:rPr>
          <w:rFonts w:hint="eastAsia" w:eastAsia="宋体"/>
          <w:lang w:val="en-US" w:eastAsia="zh-CN"/>
        </w:rPr>
      </w:pPr>
      <w:r>
        <w:rPr>
          <w:rFonts w:hint="eastAsia" w:eastAsia="宋体"/>
          <w:lang w:val="en-US" w:eastAsia="zh-CN"/>
        </w:rPr>
        <w:t>In chapter 3 usage scenarios, this figure also show typical scenarios and key characteristic of 2030 network.</w:t>
      </w:r>
    </w:p>
    <w:p>
      <w:pPr>
        <w:rPr>
          <w:rFonts w:hint="default" w:eastAsia="宋体"/>
          <w:i/>
          <w:iCs/>
          <w:lang w:val="en-US" w:eastAsia="zh-CN"/>
        </w:rPr>
      </w:pPr>
      <w:r>
        <w:rPr>
          <w:rFonts w:hint="default" w:eastAsia="宋体"/>
          <w:i/>
          <w:iCs/>
          <w:lang w:val="en-US" w:eastAsia="zh-CN"/>
        </w:rPr>
        <w:t xml:space="preserve">Ubiquitous Connectivity </w:t>
      </w:r>
    </w:p>
    <w:p>
      <w:pPr>
        <w:rPr>
          <w:rFonts w:hint="default" w:eastAsia="宋体"/>
          <w:i/>
          <w:iCs/>
          <w:lang w:val="en-US" w:eastAsia="zh-CN"/>
        </w:rPr>
      </w:pPr>
      <w:r>
        <w:rPr>
          <w:rFonts w:hint="default" w:eastAsia="宋体"/>
          <w:i/>
          <w:iCs/>
          <w:lang w:val="en-US" w:eastAsia="zh-CN"/>
        </w:rPr>
        <w:t>This usage scenario is intended to enhance connectivity with the aim to bridge the digital divide. Connectivity could be enhanced, inter alia, through interworking with other systems (see § 5.1.2). One focus of this usage scenario is to address presently uncovered or scarcely covered areas, particularly rural, remote and sparsely populated areas. Typical use cases include, but not limited to, IoT and mobile broadband communication.</w:t>
      </w:r>
    </w:p>
    <w:p>
      <w:pPr>
        <w:jc w:val="center"/>
        <w:rPr>
          <w:rFonts w:hint="default" w:eastAsia="宋体"/>
          <w:lang w:val="en-US" w:eastAsia="zh-CN"/>
        </w:rPr>
      </w:pPr>
      <w:r>
        <w:rPr>
          <w:rFonts w:hint="default" w:eastAsia="宋体"/>
          <w:lang w:val="en-US" w:eastAsia="zh-CN"/>
        </w:rPr>
        <w:drawing>
          <wp:inline distT="0" distB="0" distL="114300" distR="114300">
            <wp:extent cx="3574415" cy="3134995"/>
            <wp:effectExtent l="0" t="0" r="6985" b="4445"/>
            <wp:docPr id="1" name="图片 1" descr="1708075324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08075324907"/>
                    <pic:cNvPicPr>
                      <a:picLocks noChangeAspect="1"/>
                    </pic:cNvPicPr>
                  </pic:nvPicPr>
                  <pic:blipFill>
                    <a:blip r:embed="rId6"/>
                    <a:stretch>
                      <a:fillRect/>
                    </a:stretch>
                  </pic:blipFill>
                  <pic:spPr>
                    <a:xfrm>
                      <a:off x="0" y="0"/>
                      <a:ext cx="3574415" cy="3134995"/>
                    </a:xfrm>
                    <a:prstGeom prst="rect">
                      <a:avLst/>
                    </a:prstGeom>
                  </pic:spPr>
                </pic:pic>
              </a:graphicData>
            </a:graphic>
          </wp:inline>
        </w:drawing>
      </w:r>
    </w:p>
    <w:p>
      <w:pPr>
        <w:rPr>
          <w:b/>
        </w:rPr>
      </w:pPr>
      <w:r>
        <w:rPr>
          <w:b/>
        </w:rPr>
        <w:t>3. Proposal</w:t>
      </w:r>
    </w:p>
    <w:p>
      <w:pPr>
        <w:rPr>
          <w:lang w:val="en-US"/>
        </w:rPr>
      </w:pPr>
      <w:r>
        <w:rPr>
          <w:lang w:val="en-US"/>
        </w:rPr>
        <w:t xml:space="preserve">It is proposed to </w:t>
      </w:r>
      <w:r>
        <w:rPr>
          <w:rFonts w:hint="eastAsia" w:eastAsia="宋体"/>
          <w:lang w:val="en-US" w:eastAsia="zh-CN"/>
        </w:rPr>
        <w:t>send out LS to ITU-R on their on-going 6G key value related studies and keep them informed that 3GPP is also considering doing such study and have further interactions for potential alignment and discussion</w:t>
      </w:r>
      <w:r>
        <w:rPr>
          <w:lang w:val="en-US"/>
        </w:rPr>
        <w:t>.</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D937CA8"/>
    <w:rsid w:val="13863D50"/>
    <w:rsid w:val="16590C72"/>
    <w:rsid w:val="2CAB166F"/>
    <w:rsid w:val="42A9416B"/>
    <w:rsid w:val="445376CD"/>
    <w:rsid w:val="48A30992"/>
    <w:rsid w:val="6438571D"/>
    <w:rsid w:val="693C0DCE"/>
    <w:rsid w:val="6A72123E"/>
    <w:rsid w:val="7E1D1C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uiPriority w:val="0"/>
    <w:rPr>
      <w:color w:val="0563C1"/>
      <w:u w:val="single"/>
    </w:rPr>
  </w:style>
  <w:style w:type="paragraph" w:customStyle="1" w:styleId="29">
    <w:name w:val="EQ"/>
    <w:basedOn w:val="1"/>
    <w:next w:val="1"/>
    <w:uiPriority w:val="0"/>
    <w:pPr>
      <w:keepLines/>
      <w:tabs>
        <w:tab w:val="center" w:pos="4536"/>
        <w:tab w:val="right" w:pos="9072"/>
      </w:tabs>
    </w:pPr>
  </w:style>
  <w:style w:type="character" w:customStyle="1" w:styleId="30">
    <w:name w:val="ZGSM"/>
    <w:uiPriority w:val="0"/>
  </w:style>
  <w:style w:type="paragraph" w:customStyle="1" w:styleId="3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140</Words>
  <Characters>656</Characters>
  <Lines>5</Lines>
  <Paragraphs>1</Paragraphs>
  <TotalTime>85</TotalTime>
  <ScaleCrop>false</ScaleCrop>
  <LinksUpToDate>false</LinksUpToDate>
  <CharactersWithSpaces>795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Xiaonan-CMCC</cp:lastModifiedBy>
  <cp:lastPrinted>2019-02-25T14:05:00Z</cp:lastPrinted>
  <dcterms:modified xsi:type="dcterms:W3CDTF">2024-02-16T17:17:52Z</dcterms:modified>
  <dc:subject>&lt;Title 1; Title 2&gt; (Release 14 | 13 |12)</dc:subject>
  <dc:title>3GPP TS ab.cde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684E04554A2747488BCAB8AE424A5D0A</vt:lpwstr>
  </property>
</Properties>
</file>